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  <w:t>Акционерный банк развития предпринимательства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  <w:t>«В Л А Д Б И З Н Е С Б А Н К»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  <w:t>закрытое акционерное общество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</w:r>
    </w:p>
    <w:p>
      <w:pPr>
        <w:pStyle w:val="Normal"/>
        <w:jc w:val="center"/>
        <w:rPr/>
      </w:pPr>
      <w:r>
        <w:rPr/>
        <w:t>(ЗАО «Владбизнесбанк»)</w:t>
      </w:r>
    </w:p>
    <w:tbl>
      <w:tblPr>
        <w:tblW w:w="103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857"/>
      </w:tblGrid>
      <w:tr>
        <w:trPr/>
        <w:tc>
          <w:tcPr>
            <w:tcW w:w="5495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 w:eastAsia="en-US"/>
              </w:rPr>
            </w:r>
          </w:p>
        </w:tc>
        <w:tc>
          <w:tcPr>
            <w:tcW w:w="485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 w:eastAsia="en-US"/>
              </w:rPr>
            </w:r>
          </w:p>
        </w:tc>
      </w:tr>
    </w:tbl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ru-RU"/>
        </w:rPr>
        <w:t>УТВЕРЖДЕНО</w:t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Наблюдательным Советом</w:t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ЗАО «Владбизнесбанк»</w:t>
      </w:r>
    </w:p>
    <w:p>
      <w:pPr>
        <w:pStyle w:val="Normal"/>
        <w:ind w:firstLine="5103"/>
        <w:jc w:val="center"/>
        <w:rPr/>
      </w:pPr>
      <w:r>
        <w:rPr>
          <w:rFonts w:cs="Times New Roman" w:ascii="Times New Roman" w:hAnsi="Times New Roman"/>
          <w:b/>
          <w:lang w:val="ru-RU"/>
        </w:rPr>
        <w:t>«13» ноября 2015 г.</w:t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протокол № ___</w:t>
      </w:r>
      <w:r>
        <w:rPr>
          <w:rFonts w:cs="Times New Roman" w:ascii="Times New Roman" w:hAnsi="Times New Roman"/>
          <w:b/>
          <w:lang w:val="ru-RU"/>
        </w:rPr>
        <w:t>/15</w:t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Председатель Наблюдательного Совета</w:t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______________________</w:t>
      </w:r>
    </w:p>
    <w:p>
      <w:pPr>
        <w:pStyle w:val="Normal"/>
        <w:ind w:firstLine="5103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Гулина Н.В.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bCs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bCs/>
          <w:sz w:val="22"/>
          <w:szCs w:val="22"/>
          <w:lang w:val="ru-RU" w:eastAsia="en-US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  <w:t xml:space="preserve">АНТИКОРРУПЦИОННАЯ ПОЛИТИКА 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 w:eastAsia="en-US"/>
        </w:rPr>
        <w:t>ЗАО «ВЛАДБИЗНЕСБАНК»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2"/>
          <w:szCs w:val="22"/>
          <w:lang w:val="ru-RU" w:eastAsia="en-US"/>
        </w:rPr>
      </w:pPr>
      <w:r>
        <w:rPr>
          <w:rFonts w:eastAsia="Calibri" w:cs="Times New Roman" w:ascii="Times New Roman" w:hAnsi="Times New Roman"/>
          <w:b/>
          <w:sz w:val="22"/>
          <w:szCs w:val="22"/>
          <w:lang w:val="ru-RU" w:eastAsia="en-US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140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00"/>
        <w:gridCol w:w="4500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9"/>
                <w:szCs w:val="19"/>
                <w:lang w:val="ru-RU"/>
              </w:rPr>
            </w:pPr>
            <w:r>
              <w:rPr>
                <w:rFonts w:cs="Arial" w:ascii="Arial" w:hAnsi="Arial"/>
                <w:b/>
                <w:sz w:val="19"/>
                <w:szCs w:val="19"/>
                <w:lang w:val="ru-RU"/>
              </w:rPr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sz w:val="19"/>
                <w:szCs w:val="19"/>
                <w:lang w:val="ru-RU"/>
              </w:rPr>
            </w:pPr>
            <w:r>
              <w:rPr>
                <w:rFonts w:cs="Arial" w:ascii="Arial" w:hAnsi="Arial"/>
                <w:b/>
                <w:sz w:val="19"/>
                <w:szCs w:val="19"/>
                <w:lang w:val="ru-RU"/>
              </w:rPr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lang w:val="ru-RU"/>
              </w:rPr>
            </w:pPr>
            <w:r>
              <w:rPr>
                <w:rFonts w:cs="Arial" w:ascii="Arial" w:hAnsi="Arial"/>
                <w:b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lang w:val="ru-RU"/>
              </w:rPr>
            </w:pPr>
            <w:r>
              <w:rPr>
                <w:rFonts w:cs="Arial" w:ascii="Arial" w:hAnsi="Arial"/>
                <w:b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lang w:val="ru-RU"/>
              </w:rPr>
            </w:pPr>
            <w:r>
              <w:rPr>
                <w:rFonts w:cs="Arial" w:ascii="Arial" w:hAnsi="Arial"/>
                <w:b/>
                <w:lang w:val="ru-RU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18"/>
          <w:szCs w:val="18"/>
          <w:lang w:val="ru-RU"/>
        </w:rPr>
      </w:pPr>
      <w:r>
        <w:rPr>
          <w:rFonts w:cs="Arial" w:ascii="Arial" w:hAnsi="Arial"/>
          <w:sz w:val="18"/>
          <w:szCs w:val="18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г. Владимир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2015 г.</w:t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lang w:val="ru-RU"/>
        </w:rPr>
      </w:pPr>
      <w:r>
        <w:rPr>
          <w:rFonts w:cs="Arial" w:ascii="Arial" w:hAnsi="Arial"/>
          <w:b/>
          <w:bCs/>
          <w:sz w:val="20"/>
          <w:szCs w:val="20"/>
          <w:lang w:val="ru-RU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СОДЕРЖАНИЕ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183"/>
        <w:gridCol w:w="705"/>
      </w:tblGrid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ind w:right="-67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ind w:right="-675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Общие положения ………………………………………………………………….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ind w:right="-67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ind w:right="-675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Определения и понятия ……………………………………………………………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3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/>
            </w:pPr>
            <w:r>
              <w:rPr>
                <w:rFonts w:cs="Times New Roman" w:ascii="Times New Roman" w:hAnsi="Times New Roman"/>
                <w:lang w:val="ru-RU"/>
              </w:rPr>
              <w:t>3.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Цели и задачи ……………………………………………………………………...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4.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Область применения ………………………………………………………………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Коррупционные действия ………………………………………………………...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5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Ключевые принципы ……………………………………………………………...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Правила поведения, установленные в Банке ……………………………………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Контроль за исполнением Политики и оповещение о недостатках …………...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Ответственность за неисполнение (ненадлежащее исполнение) Политики ….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</w:tr>
      <w:tr>
        <w:trPr/>
        <w:tc>
          <w:tcPr>
            <w:tcW w:w="576" w:type="dxa"/>
            <w:tcBorders/>
            <w:shd w:fill="auto" w:val="clear"/>
          </w:tcPr>
          <w:p>
            <w:pPr>
              <w:pStyle w:val="Normal"/>
              <w:spacing w:before="10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10.</w:t>
            </w:r>
          </w:p>
        </w:tc>
        <w:tc>
          <w:tcPr>
            <w:tcW w:w="8183" w:type="dxa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Заключительные положения ……………………………………………………...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</w:tr>
      <w:tr>
        <w:trPr/>
        <w:tc>
          <w:tcPr>
            <w:tcW w:w="8759" w:type="dxa"/>
            <w:gridSpan w:val="2"/>
            <w:tcBorders/>
            <w:shd w:fill="auto" w:val="clear"/>
          </w:tcPr>
          <w:p>
            <w:pPr>
              <w:pStyle w:val="Normal"/>
              <w:spacing w:before="10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Приложение 1 …………………………………………………………………………....</w:t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spacing w:before="1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12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tbl>
      <w:tblPr>
        <w:tblW w:w="10207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ОБЩИЕ ПОЛОЖЕНИЯ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Настоящая Антикоррупционная политика</w:t>
            </w:r>
            <w:r>
              <w:rPr>
                <w:rFonts w:cs="Times New Roman" w:ascii="Times New Roman" w:hAnsi="Times New Roman"/>
                <w:i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>(далее – Политика) является основным внутренним нормативным документом ЗАО «Владбизнесбанк» (далее – Банк), определяющим ключевые принципы и требования, направленные на предотвращение и противодействие коррупции, а также на обеспечение соблюдения норм применяемого антикоррупционного законодательства Банком, его работниками, иными лицами, имеющими право действовать от имени и в интересах Банка.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Настоящая Политика разработана в соответствии с действующим законодательством Российской Федерации, а также Уставом Банка и иными внутренними документами Банка, регламентирующими нормы профессионального поведения.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ОПРЕДЕЛЕНИЯ И ПОНЯТИЯ, ИСПОЛЬЗУЕМЫЕ В НАСТОЯЩЕЙ ПОЛИТИКЕ</w:t>
            </w:r>
          </w:p>
          <w:p>
            <w:pPr>
              <w:pStyle w:val="Normal"/>
              <w:tabs>
                <w:tab w:val="left" w:pos="709" w:leader="none"/>
              </w:tabs>
              <w:spacing w:before="0" w:after="2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антикоррупционное законодательство – </w:t>
            </w:r>
            <w:r>
              <w:rPr>
                <w:rFonts w:cs="Times New Roman" w:ascii="Times New Roman" w:hAnsi="Times New Roman"/>
                <w:lang w:val="ru-RU"/>
              </w:rPr>
              <w:t>обязательные для исполнения Банком и всеми его работниками</w:t>
            </w:r>
            <w:r>
              <w:rPr>
                <w:rFonts w:cs="Times New Roman" w:ascii="Times New Roman" w:hAnsi="Times New Roman"/>
                <w:b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>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коррупция</w:t>
            </w:r>
            <w:r>
              <w:rPr>
                <w:rFonts w:cs="Times New Roman" w:ascii="Times New Roman" w:hAnsi="Times New Roman"/>
                <w:lang w:val="ru-RU"/>
              </w:rPr>
      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лица;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коррупционное правонарушение</w:t>
            </w:r>
            <w:r>
              <w:rPr>
                <w:rFonts w:cs="Times New Roman" w:ascii="Times New Roman" w:hAnsi="Times New Roman"/>
                <w:lang w:val="ru-RU"/>
              </w:rPr>
              <w:t xml:space="preserve"> – совершенное противоправное деяние, обладающее признаками коррупции, за которое законодательством Российской Федерации установлена гражданско-правовая, дисциплинарная, административная или уголовная ответственность;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взятка</w:t>
            </w:r>
            <w:r>
              <w:rPr>
                <w:rFonts w:cs="Times New Roman" w:ascii="Times New Roman" w:hAnsi="Times New Roman"/>
                <w:lang w:val="ru-RU"/>
              </w:rPr>
              <w:t xml:space="preserve"> – денежные средства, ценные бумаги, иное имущество, выгода и/или услуги имущественного характера, передаваемые/оказываемые безвозмездно либо с занижением стоимости имущества или услуги (далее – предмет взятки), переданные/оказанные или предложенные должностному лицу/полученные должностным лицом лично или через посредника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Для целей понятия «взятка» не существует минимальных денежных пределов, любой переданный/полученный предмет взятки может быть истолкован как дача взятки/получение взятки;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коммерческий подкуп</w:t>
            </w:r>
            <w:r>
              <w:rPr>
                <w:rFonts w:cs="Times New Roman" w:ascii="Times New Roman" w:hAnsi="Times New Roman"/>
                <w:lang w:val="ru-RU"/>
              </w:rPr>
              <w:t xml:space="preserve"> – незаконная передача/получение лицом, </w:t>
            </w:r>
            <w:hyperlink w:anchor="sub_20101">
              <w:r>
                <w:rPr>
                  <w:rStyle w:val="InternetLink"/>
                  <w:rFonts w:cs="Times New Roman" w:ascii="Times New Roman" w:hAnsi="Times New Roman"/>
                  <w:lang w:val="ru-RU"/>
                </w:rPr>
                <w:t>выполняющим управленческие функции</w:t>
              </w:r>
            </w:hyperlink>
            <w:r>
              <w:rPr>
                <w:rFonts w:cs="Times New Roman" w:ascii="Times New Roman" w:hAnsi="Times New Roman"/>
                <w:lang w:val="ru-RU"/>
              </w:rPr>
              <w:t xml:space="preserve"> в </w:t>
            </w:r>
            <w:hyperlink r:id="rId2">
              <w:r>
                <w:rPr>
                  <w:rStyle w:val="InternetLink"/>
                  <w:rFonts w:cs="Times New Roman" w:ascii="Times New Roman" w:hAnsi="Times New Roman"/>
                  <w:lang w:val="ru-RU"/>
                </w:rPr>
                <w:t>коммерческой</w:t>
              </w:r>
            </w:hyperlink>
            <w:r>
              <w:rPr>
                <w:rFonts w:cs="Times New Roman" w:ascii="Times New Roman" w:hAnsi="Times New Roman"/>
                <w:lang w:val="ru-RU"/>
              </w:rPr>
              <w:t xml:space="preserve"> или иной организации, денежных средств, ценных бумаг, иного имущества, выгода и/или услуга имущественного характера, оказываемая безвозмездно либо с занижением стоимости передаваемого имущества или оказанной услуги, за совершение 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lang w:val="ru-RU"/>
                </w:rPr>
                <w:t>действий (бездействия)</w:t>
              </w:r>
            </w:hyperlink>
            <w:r>
              <w:rPr>
                <w:rFonts w:cs="Times New Roman" w:ascii="Times New Roman" w:hAnsi="Times New Roman"/>
                <w:lang w:val="ru-RU"/>
              </w:rPr>
              <w:t xml:space="preserve"> в интересах дающего в связи с занимаемым этим лицом служебным положением;</w:t>
            </w:r>
          </w:p>
        </w:tc>
      </w:tr>
      <w:tr>
        <w:trPr>
          <w:trHeight w:val="430" w:hRule="atLeast"/>
        </w:trPr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выплаты за упрощение формальностей</w:t>
            </w:r>
            <w:r>
              <w:rPr>
                <w:rFonts w:cs="Times New Roman" w:ascii="Times New Roman" w:hAnsi="Times New Roman"/>
                <w:lang w:val="ru-RU"/>
              </w:rPr>
              <w:t xml:space="preserve"> – плата за «содействие» и «оперативность» и представляет собой мелкие суммы, передаваемые с целью обеспечить или ускорить выполнение установленных процедур или необходимых действий, на осуществление которых лицо, вносящее плату за упрощение формальностей, имеет юридическое или иное право;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государственные органы</w:t>
            </w:r>
            <w:r>
              <w:rPr>
                <w:rFonts w:cs="Times New Roman" w:ascii="Times New Roman" w:hAnsi="Times New Roman"/>
                <w:lang w:val="ru-RU"/>
              </w:rPr>
              <w:t xml:space="preserve"> – органы государственной власти Российской Федерации, органы государственной власти субъектов Российской Федерации, в том числе, судебные органы, а также иные государственные органы, образуемые в соответствии с законодательством Российской Федерации, законодательством субъектов Российской Федерации. В целях настоящей Политики к категории «государственные органы» относится Банк России, а также иные контролирующие и надзорные органы;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должностное лицо</w:t>
            </w:r>
            <w:r>
              <w:rPr>
                <w:rFonts w:cs="Times New Roman" w:ascii="Times New Roman" w:hAnsi="Times New Roman"/>
                <w:lang w:val="ru-RU"/>
              </w:rPr>
              <w:t xml:space="preserve"> – лицо постоянно, временно или в соответствии со специальными полномочиями осуществляющее функции представителя власти (осуществляющее законодательную, исполнительную или судебную власть), лицо, являющееся работником государственного/надзорного или контролирующего органа, наделенное в установленном законом порядке распорядительными полномочиями в отношении лиц, не находящихся в служебной зависимости от него, либо правом принимать решения, обязательные для исполнения гражданами, а также организациями, независимо от их ведомственной подчиненности,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К должностным лицам также относятся должностные лица иностранного государства, сотрудники публичной международной организации;</w:t>
            </w:r>
          </w:p>
        </w:tc>
      </w:tr>
      <w:tr>
        <w:trPr>
          <w:trHeight w:val="398" w:hRule="atLeast"/>
        </w:trPr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органы управления Банка</w:t>
            </w:r>
            <w:r>
              <w:rPr>
                <w:rFonts w:cs="Times New Roman" w:ascii="Times New Roman" w:hAnsi="Times New Roman"/>
                <w:lang w:val="ru-RU"/>
              </w:rPr>
              <w:t xml:space="preserve"> – Наблюдательный Совет Банка, Председатель Правления и Правление Банка;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противодействие</w:t>
            </w:r>
            <w:r>
              <w:rPr>
                <w:rFonts w:cs="Times New Roman" w:ascii="Times New Roman" w:hAnsi="Times New Roman"/>
                <w:b/>
                <w:bCs/>
                <w:iCs/>
                <w:lang w:val="ru-RU"/>
              </w:rPr>
              <w:t xml:space="preserve"> коррупции </w:t>
            </w:r>
            <w:r>
              <w:rPr>
                <w:rFonts w:cs="Times New Roman" w:ascii="Times New Roman" w:hAnsi="Times New Roman"/>
                <w:lang w:val="ru-RU"/>
              </w:rPr>
              <w:t>– деятельность работников Банка, органов его управления в пределах их полномочий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правонарушений; по минимизации и/или ликвидации последствий коррупционных правонарушений;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работники Банка</w:t>
            </w:r>
            <w:r>
              <w:rPr>
                <w:rFonts w:cs="Times New Roman" w:ascii="Times New Roman" w:hAnsi="Times New Roman"/>
                <w:lang w:val="ru-RU"/>
              </w:rPr>
              <w:t xml:space="preserve"> – физические лица, состоящие с Банком в трудовых отношениях на основании трудового договора </w:t>
            </w:r>
            <w:r>
              <w:rPr>
                <w:rFonts w:eastAsia="Calibri" w:cs="Times New Roman" w:ascii="Times New Roman" w:hAnsi="Times New Roman"/>
                <w:lang w:val="ru-RU" w:eastAsia="en-US"/>
              </w:rPr>
              <w:t>(включая Председателя Правления, членов Правления)</w:t>
            </w:r>
            <w:r>
              <w:rPr>
                <w:rFonts w:cs="Times New Roman" w:ascii="Times New Roman" w:hAnsi="Times New Roman"/>
                <w:lang w:val="ru-RU"/>
              </w:rPr>
              <w:t>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родственник</w:t>
            </w:r>
            <w:r>
              <w:rPr>
                <w:rFonts w:cs="Times New Roman" w:ascii="Times New Roman" w:hAnsi="Times New Roman"/>
                <w:lang w:val="ru-RU"/>
              </w:rPr>
              <w:t xml:space="preserve"> – супруг(а), родители, дети, а также иные лица, связанные с работниками Банка близкими отношениями;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структурное подразделение Банка</w:t>
            </w:r>
            <w:r>
              <w:rPr>
                <w:rFonts w:cs="Times New Roman" w:ascii="Times New Roman" w:hAnsi="Times New Roman"/>
                <w:lang w:val="ru-RU"/>
              </w:rPr>
              <w:t xml:space="preserve"> – отдел/служба/сектор головного офиса Банка,</w:t>
            </w:r>
            <w:r>
              <w:rPr>
                <w:rFonts w:cs="Times New Roman" w:ascii="Times New Roman" w:hAnsi="Times New Roman"/>
                <w:i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>дополнительный офис Банка, операционная касса вне кассового узла, работники Банка, не входящие в состав структурных подразделений;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контрагент</w:t>
            </w:r>
            <w:r>
              <w:rPr>
                <w:rFonts w:cs="Times New Roman" w:ascii="Times New Roman" w:hAnsi="Times New Roman"/>
                <w:lang w:val="ru-RU"/>
              </w:rPr>
              <w:t xml:space="preserve"> – посредник, агент, деловой партнер, поставщик, подрядчик и иное третье лицо, имеющее право действовать от имени и в интересах Банка и (или) привлеченное для выполнения от его имени определенных обязанностей;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уполномоченное подразделение Банка по корпоративной этике </w:t>
            </w:r>
            <w:r>
              <w:rPr>
                <w:rFonts w:cs="Times New Roman" w:ascii="Times New Roman" w:hAnsi="Times New Roman"/>
                <w:lang w:val="ru-RU"/>
              </w:rPr>
              <w:t xml:space="preserve">– Служба внутреннего контроля Банка (комплаенс-служба). 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ценности</w:t>
            </w:r>
            <w:r>
              <w:rPr>
                <w:rFonts w:cs="Times New Roman" w:ascii="Times New Roman" w:hAnsi="Times New Roman"/>
                <w:lang w:val="ru-RU"/>
              </w:rPr>
              <w:t xml:space="preserve"> – все, что может представлять ценность для должностного лица/лица, выполняющего управленческие функции, его родственников, включая денежные средства, движимое и недвижимое имущество, подарки, приглашения, посещение развлекательных мероприятий, предоставление в отношении товаров, услуг льготных условий, у которых нет коммерчески разумного оправдания, а также предложения трудоустройства и иных подобных преимуществ.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ЦЕЛИ И ЗАДАЧИ ПОЛИТИКИ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Политика отражает приверженность Банка, членов органов его управления, его работников высоким этическим стандартам ведения открытого и честного бизнеса для совершенствования корпоративной культуры, следования лучшим практикам корпоративного управления и поддержания деловой репутации Банка на должном уровне.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Основными целями и задачами настоящей Политики являются: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09" w:leader="none"/>
              </w:tabs>
              <w:spacing w:before="0" w:after="260"/>
              <w:ind w:left="720" w:hanging="29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регламентация стандартов Банка в области антикоррупционной деятельности, формирование у лиц, взаимодействующих с Банком, единообразного понимания позиции Банка о неприятии коррупции в любых формах и проявлениях;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09" w:leader="none"/>
              </w:tabs>
              <w:autoSpaceDE w:val="false"/>
              <w:spacing w:before="0" w:after="260"/>
              <w:ind w:left="720" w:hanging="29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установление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обязанности </w:t>
            </w:r>
            <w:r>
              <w:rPr>
                <w:rFonts w:cs="Times New Roman" w:ascii="Times New Roman" w:hAnsi="Times New Roman"/>
                <w:lang w:val="ru-RU"/>
              </w:rPr>
              <w:t>членов органов управления,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всех работников Банка знать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09" w:leader="none"/>
              </w:tabs>
              <w:spacing w:before="0" w:after="260"/>
              <w:ind w:left="720" w:hanging="29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минимизация риска вовлечения Банка, членов органов его управления и работников (независимо от занимаемой должности) в коррупционную деятельность.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ОБЛАСТЬ ПРИМЕНЕНИЯ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i/>
                <w:i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Принципы и требования настоящей Политики распространяются на членов органов управления, всех работников Банка независимо от занимаемой должности, статуса и срока их работы в Банке. Члены органов управления и все работники Банка должны руководствоваться настоящей Политикой, неукоснительно соблюдать ее положения. 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Принципы и требования настоящей Политики также распространяются</w:t>
            </w:r>
            <w:r>
              <w:rPr>
                <w:rFonts w:cs="Times New Roman" w:ascii="Times New Roman" w:hAnsi="Times New Roman"/>
                <w:lang w:val="ru-RU"/>
              </w:rPr>
              <w:t xml:space="preserve"> на контрагентов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 тех случаях, когда соответствующие обязанности </w:t>
            </w:r>
            <w:r>
              <w:rPr>
                <w:rFonts w:cs="Times New Roman" w:ascii="Times New Roman" w:hAnsi="Times New Roman"/>
                <w:lang w:val="ru-RU"/>
              </w:rPr>
              <w:t>по противодействию коррупции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закреплены в договорах с ними, в их внутренних документах, либо прямо вытекают из закона. Банк </w:t>
            </w:r>
            <w:r>
              <w:rPr>
                <w:rFonts w:cs="Times New Roman" w:ascii="Times New Roman" w:hAnsi="Times New Roman"/>
                <w:lang w:val="ru-RU"/>
              </w:rPr>
              <w:t>ожидает от указанных лиц соблюдения вышеупомянутых обязанностей, а во взаимоотношениях с ними - встречного взаимодействия, основанное на добропорядочности и честности.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КОРРУПЦИОННЫЕ ДЕЙСТВИЯ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В соответствии с антикоррупционными нормами, подлежащими применению, Банк считает коррупционными действиями действия, включая взяточничество и коммерческий подкуп, совершенные:</w:t>
            </w:r>
          </w:p>
          <w:p>
            <w:pPr>
              <w:pStyle w:val="Normal"/>
              <w:tabs>
                <w:tab w:val="left" w:pos="426" w:leader="none"/>
              </w:tabs>
              <w:ind w:left="72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прямо или косвенно, лично или через посредничество третьих лиц,</w:t>
            </w:r>
          </w:p>
          <w:p>
            <w:pPr>
              <w:pStyle w:val="Normal"/>
              <w:tabs>
                <w:tab w:val="left" w:pos="426" w:leader="none"/>
              </w:tabs>
              <w:ind w:left="72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 отношении Банка либо от имени/в интересах Банка в отношении государственных и муниципальных органов и их представителей, Банка России и его служащих, контрагентов, а также иных юридических лиц и их работников, органов управления и представителей указанных юридических лиц,</w:t>
            </w:r>
          </w:p>
          <w:p>
            <w:pPr>
              <w:pStyle w:val="Normal"/>
              <w:tabs>
                <w:tab w:val="left" w:pos="426" w:leader="none"/>
              </w:tabs>
              <w:ind w:left="72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независимо от цели (включая упрощение административных и иных процедур, обеспечение конкурентных и иных преимуществ),</w:t>
            </w:r>
          </w:p>
          <w:p>
            <w:pPr>
              <w:pStyle w:val="Normal"/>
              <w:tabs>
                <w:tab w:val="left" w:pos="426" w:leader="none"/>
              </w:tabs>
              <w:ind w:left="72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 любой форме, в том числе в форме получения/предоставления денежных средств, ценностей, иного имущества или услуг имущественного характера, иных имущественных прав.</w:t>
            </w:r>
          </w:p>
          <w:p>
            <w:pPr>
              <w:pStyle w:val="Normal"/>
              <w:tabs>
                <w:tab w:val="left" w:pos="426" w:leader="none"/>
              </w:tabs>
              <w:ind w:left="72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Работникам Банка, членам органов управления Банка запрещается совершать коррупционные действия, указанные в п. 5.1 настоящей Политики, в том числе запрещается прямо или косвенно, лично или через посредничество третьих лиц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государственной власти и местного самоуправления, контролирующие и надзорные органы, государственных и муниципальных служащих, частных компаний и их представителей.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Работники Банка, члены органов управления Банка при выполнении своих трудовых функций или при осуществлении своей деятельности от имени Банка должны соблюдать антикоррупционное законодательство Российской Федерации в сфере противодействия коррупции, а также принципы и  требования настоящей Политики.</w:t>
            </w:r>
          </w:p>
        </w:tc>
      </w:tr>
      <w:tr>
        <w:trPr>
          <w:trHeight w:val="2999" w:hRule="atLeast"/>
        </w:trPr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КЛЮЧЕВЫЕ ПРИНЦИПЫ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Миссия высшего руководства Банка</w:t>
            </w:r>
          </w:p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Члены Наблюдательного Совета, Председатель Правления и члены Правления Банка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      </w:r>
          </w:p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В Банке закрепляется принцип неприятия коррупции в любых формах и проявлениях (принцип «нулевой толерантности») при осуществлении повседневной деятельности и стратегических проектов, в том числе во взаимодействии с акционерами, инвесторами, контрагентами, представителями органов власти, самоуправления, надзорных и контролирующих органов, политических партий, своими работниками и иными третьими лицами.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574" w:hanging="574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Идентификация рисков</w:t>
            </w:r>
          </w:p>
          <w:p>
            <w:pPr>
              <w:pStyle w:val="Normal"/>
              <w:tabs>
                <w:tab w:val="left" w:pos="567" w:leader="none"/>
              </w:tabs>
              <w:spacing w:before="0" w:after="2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Банк идентифицирует коррупционные риски, характерные для его деятельности и потенциально уязвимых бизнес-процессов. При этом коррупционный риск оценивается только с точки зрения вероятности его реализации без учёта размера потенциального ущерба и/или взятки.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Адекватные антикоррупционные процедуры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before="0" w:after="2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Банк внедряет адекватные процедуры по предотвращению коррупции, разумно отвечающие выявленным рискам и соразмерные вероятности их реализации. Внедрение антикоррупционных процедур включает информирование (в том числе, как это указано в пп. 6.5., 7.8.3 настоящей Политики) работников Банка о его позиции по вопросам противодействия коррупции, проведение для них тренингов/семинаров, а также применение дисциплинарных санкций к работникам, нарушившим процедуры, вне зависимости от занимаемой ими должности, опыта работы и других параметров.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Проверка контрагентов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before="0" w:after="2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Банк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оценка толерантности контрагентов ко взяточничеству и коррупции, в том числе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оговорки, а также оказывать взаимное содействие для этичного ведения бизнеса и предотвращения коррупции.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Информирование и обучение</w:t>
            </w:r>
          </w:p>
        </w:tc>
      </w:tr>
      <w:tr>
        <w:trPr>
          <w:trHeight w:val="1168" w:hRule="atLeast"/>
        </w:trPr>
        <w:tc>
          <w:tcPr>
            <w:tcW w:w="10207" w:type="dxa"/>
            <w:tcBorders/>
            <w:shd w:fill="auto" w:val="clear"/>
          </w:tcPr>
          <w:p>
            <w:pPr>
              <w:pStyle w:val="Normal"/>
              <w:tabs>
                <w:tab w:val="left" w:pos="567" w:leader="none"/>
              </w:tabs>
              <w:spacing w:before="0" w:after="26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Банк размещает настоящую Политику в свободном доступе на официальном сайте Банка в информационно-телекоммуникационной сети «Интернет», открыто заявляет о неприятии коррупции, приветствует и поощряет соблюдение принципов и требований настоящей Политики всеми контрагентами, членами органов управления Банка, его работниками и иными лицами, и содействует повышению уровня антикоррупционной культуры  путем информирования и обучения.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Мониторинг и контроль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Банк осуществляет мониторинг внедренных адекватных процедур по предотвращению коррупции, контролирует их соблюдение и при необходимости совершенствует их.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Банк предпримет необходимые меры для расследования всех выявленных случаев взяточничества, коррупции и злоупотреблений своим служебным положением со стороны членов органов управления, работников Банка, которые каким-либо образом связаны с наименованием Банка.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4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ПРАВИЛА ПОВЕДЕНИЯ, УСТАНОВЛЕННЫЕ В БАНКЕ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Факты коррупции могут привести к личной уголовной ответственности, а также к административной ответственности Банка.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Члены органов управления и работники Банка обязаны отказаться от незаконного поощрения любого вида в достаточно четкой и ясной форме, не оставляющей места для сомнений, недопонимания и двусмысленного трактования такого отказа. Информация о любом предложении/попытке предложения такого поощрения должна быть незамедлительно доведена сотрудником до сведения непосредственного руководителя и Уполномоченного подразделения Банка по корпоративной этике.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Кроме того, во всех случаях возникновения обоснованных подозрений относительно того, что услуги, предоставляемые Банком своим клиентам, используются (или предполагаются для использования) в целях взяточничества и коррупции, работники Банка  обязаны незамедлительно сообщить о своих подозрениях своему непосредственному руководителю (за исключением случаев, когда соответствующие подозрения возникают в отношении непосредственно самого руководителя) и в Уполномоченное подразделение Банка по корпоративной этике.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Если член органа управления, работник Банка сталкивается с выбором между вовлечением во взяточничество/коррупцию и потерей коммерческих преимуществ, он должен отказаться от коммерческих преимуществ, связанных со взяточничеством.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Подарки и представительские расходы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7.5.1. Подарки и представительские расходы, в том числе на деловое гостеприимство, которые члены органов управления, работники от имени Банка могут предоставлять другим лицам и организациям, либо которые члены органов управления, работники Банка, в связи с их работой в Банки, могут получать от других лиц и организаций, должны соответствовать совокупности пяти указных ниже критериев: 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быть прямо связаны с законными целями деятельности Банка, например, с презентацией или завершением бизнес-проектов, проведением конференций, успешным исполнением контрактов, либо с общепринятыми праздниками, такими как Рождество и Новый год, Международный женский день, памятные даты, юбилеи; </w:t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быть разумно обоснованными, соразмерными и не являться предметами роскоши; </w:t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 лицензии, разрешении и т.п. или попытку оказать влияние на получателя с иной незаконной или неэтичной целью; </w:t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не создавать репутационного риска для Банка, работников и иных лиц в случае раскрытия информации о подарках или представительских расходах; </w:t>
            </w:r>
          </w:p>
          <w:p>
            <w:pPr>
              <w:pStyle w:val="Normal"/>
              <w:numPr>
                <w:ilvl w:val="0"/>
                <w:numId w:val="2"/>
              </w:numPr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не противоречить принципам и требованиям настоящей Политики, другим внутренним документам Банка и нормам применимого законодательства.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7.5.2. Подарки в виде сувенирной продукции (продукции невысокой стоимости), предоставляемые на выставках, открытых  презентациях, форумах и иных представительских и маркетинговых мероприятиях, в которых официально участвует Банк, допускаются и рассматриваются в качестве имиджевых материалов.  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7.5.3. Не допускаются подарки от имени Банка, его работников и представителей третьим лицам в виде денежных средств, наличных или безналичных, в любой валюте. 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Участие в благотворительной деятельности и спонсорство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Банк может осуществлять благотворительную политику, направленную на формирование его имиджа как социально-ответственного финансового института.</w:t>
            </w:r>
          </w:p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Банк не финансирует благотворительные, социальные и спонсорские проекты в целях получения коммерческих преимуществ.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Банк участвует только в тех спонсорских проектах, которые являются правомерными как с юридической, так и с этической точки зрения, а также предпринимает все необходимые меры, чтобы подобные пожертвования никоим образом не были сделаны в качестве поощрения для получения каких-либо неправомерных преимуществ или выгод.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Взаимодействие с должностными лицами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Банк воздерживается от оплаты любых расходов за должностных лиц и их родственников (или в их интересах) в целях получения коммерческих преимуществ для Банка, у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скорения принятия решений органами государственной власти/должностными лицами/ организациями независимо от формы оплаты, а также </w:t>
            </w:r>
            <w:r>
              <w:rPr>
                <w:rFonts w:cs="Times New Roman" w:ascii="Times New Roman" w:hAnsi="Times New Roman"/>
                <w:lang w:val="ru-RU"/>
              </w:rPr>
              <w:t xml:space="preserve">предоставления им за счет Банка иной выгоды или ценностей.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При этом не допускаются никакие ссылки на общепринятую практику и/или местные особенности ведения бизнеса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lang w:val="ru-RU"/>
              </w:rPr>
              <w:t>Взаимодействие с работниками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7.8.1. Банк требует от своих работников соблюдения настоящей Политики, информируя их о ключевых принципах, требованиях и санкциях за нарушения.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7.8.2. В Банке организуются конфиденциальные и доступные средства (в т.ч. форма обратной связи на интернет-сайте Банка) для информирования о фактах (в т.ч. потенциальных) коррупционных правонарушений. Указанная информация так же может быть направлена работником своему непосредственному руководителю и Уполномоченному подразделению Банка по корпоративной этике. Несообщение о фактах коррупционных правонарушений может быть расценено как соучастие в них.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before="0" w:after="26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7.8.3. </w:t>
            </w:r>
            <w:r>
              <w:rPr>
                <w:rFonts w:cs="Times New Roman" w:ascii="Times New Roman" w:hAnsi="Times New Roman"/>
                <w:lang w:val="ru-RU"/>
              </w:rPr>
              <w:t>Ознакомление работников с Политикой и вносимыми в неё изменениями осуществляется не позднее 1 месяца с даты введения Политики в действие. При ознакомлении с Политикой каждый работник Банка подписывает Обязательство о принятии и соблюдении Политики по форме, прилагаемой к Политике (Приложение 1). Подписанное Обязательство хранится в личном деле работника. Ознакомление всех новых работников Банка с положениями данной Политики осуществляется при приеме на работу (с оформлением аналогичного Обязательства).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Взаимодействие с контрагентами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Члены органов управления, работники Банка должны проявлять осторожность при выборе и сотрудничестве с контрагентами. Следует учитывать, что акты взяточничества и коррупции, совершенные контрагентами, которые действовали от имени Банка, могут повлечь уголовную ответственность, а также явиться основанием для привлечения Банка к административной ответственности, что может нанести ущерб его репутации.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Банку, членам органов его управления и работникам запрещается привлекать или использовать контрагентов для совершения каких-либо действий, которые противоречат принципам и требованиям настоящей Политики или подлежащим применению антикоррупционным нормам.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В целях исполнения принципов и требований, предусмотренных настоящей Политикой, Банк стремится включать в договоры со своими контрагентами антикоррупционные условия (оговорки/ положения), указывающие на то, что контрагент не будет принимать или предлагать, обещать или предоставлять какие-либо неоправданные финансовые или иные выгоды, прямо или косвенно, любому лицу или организации, в обмен на их действие или бездействие в нарушение исполнения ими своих обязанностей. </w:t>
            </w:r>
          </w:p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Работникам Банка запрещается осуществлять выплаты за упрощение формальностей в любых вопросах, связанных с деятельностью Банка. Подобные платежи не допустимы, и Банк никогда не будет оправдывать или потворствовать выплате подобных платежей работниками или любыми другими лицами, действующими от имени Банка.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Клиенты, занимающиеся взяточничеством и коррупцией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Все вопросы относительно (потенциальных) фактов коррупционной активности клиентов при осуществлении операций по счетам, открытым в Банке, либо выявленных в процессе предоставления иных услуг Банка, следует направлять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непосредственному руководителю и</w:t>
            </w:r>
            <w:r>
              <w:rPr>
                <w:rFonts w:cs="Times New Roman" w:ascii="Times New Roman" w:hAnsi="Times New Roman"/>
                <w:lang w:val="ru-RU"/>
              </w:rPr>
              <w:t xml:space="preserve"> в Уполномоченное подразделение Банка по корпоративной этике.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Несообщение выявленных фактов коррупции и взяточничества может быть расценено как соучастие в данных преступлениях.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284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КОНТРОЛЬ ЗА ИСПОЛНЕНИЕМ ПОЛИТИКИ И ОПОВЕЩЕНИЕ О НЕДОСТАТКАХ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Контроль соблюдения работниками Банка положений настоящей Политики осуществляется непосредственно руководителями структурных подразделений Банка. Руководители структурных подразделений обязаны незамедлительно сообщать о выявленных или сообщенных им фактах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коррупционных правонарушений и/или</w:t>
            </w:r>
            <w:r>
              <w:rPr>
                <w:rFonts w:cs="Times New Roman" w:ascii="Times New Roman" w:hAnsi="Times New Roman"/>
                <w:lang w:val="ru-RU"/>
              </w:rPr>
              <w:t xml:space="preserve"> нарушений настоящей Политики Уполномоченному подразделению Банка по корпоративной этике. Указанное требование распространяется также на иных работников Банка, включая Председателя Правления  и членов Правления.</w:t>
            </w:r>
          </w:p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autoSpaceDE w:val="false"/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Любой работник или иное лицо в случае появления сомнений в правомерности или в соответствии целям, принципам и требованиям Политики своих действий, а также действий, бездействия или предложений других работников, контрагентов или иных лиц, которые взаимодействуют с Банком, может  сообщить об этом через форму обратной связи на интернет сайте Банка, либо своему непосредственному руководителю и </w:t>
            </w:r>
            <w:r>
              <w:rPr>
                <w:rFonts w:cs="Times New Roman" w:ascii="Times New Roman" w:hAnsi="Times New Roman"/>
                <w:lang w:val="ru-RU"/>
              </w:rPr>
              <w:t xml:space="preserve">Уполномоченному подразделению Банка по корпоративной этике. Через форму обратной связи на интернет-сайте Банка могут поступать предложения по улучшению антикоррупционных процедур и контроля, а также запросы со стороны работников и третьих лиц. Кроме того, указанная информация может быть направлена по почтовому адресу Банка – 600015, г. Владимир, проспект Ленина, 35, </w:t>
            </w:r>
            <w:r>
              <w:rPr>
                <w:rFonts w:cs="Times New Roman" w:ascii="Times New Roman" w:hAnsi="Times New Roman"/>
                <w:i/>
                <w:lang w:val="ru-RU"/>
              </w:rPr>
              <w:t>для Службы внутреннего контроля.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Сообщения о фактах нарушения настоящей Политики необходимо направлять Уполномоченному подразделению Банка по корпоративной этике.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Уполномоченное подразделение Банка по корпоративной этике:</w:t>
            </w:r>
          </w:p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принимает и рассматривает сообщения работников Банка/третьих лиц о нарушениях настоящей Политики, о подозрениях в совершении коррупционного правонарушения, по результатам которого выносит на рассмотрение органам управления Банком вопрос об инициировании служебного расследование и (или) формирует рекомендации по совершенствованию внедренных в Банке антикоррупционных процедур;</w:t>
            </w:r>
          </w:p>
          <w:p>
            <w:pPr>
              <w:pStyle w:val="Normal"/>
              <w:numPr>
                <w:ilvl w:val="2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>периодически рассматривает информацию о результатах работы подразделений Банка по обеспечению соответствия их деятельности принципам и требованиям настоящей Политики и иным антикоррупционным нормам, подлежащим применению.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426" w:leader="none"/>
              </w:tabs>
              <w:spacing w:before="0" w:after="260"/>
              <w:jc w:val="both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ОТВЕТСТВЕННОСТЬ ЗА НЕИСПОЛНЕНИЕ (НЕНАДЛЕЖАЩЕЕ ИСПОЛНЕНИЕ) НАСТОЯЩЕЙ ПОЛИТИКИ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autoSpaceDE w:val="false"/>
              <w:ind w:left="0" w:hang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Члены органов управления и работники Банка, независимо от занимаемой должности, несут персональную ответственность за соблюдение принципов и требований настоящей Политики,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а также за действия (бездействие) подчиненных им лиц, нарушающие эти принципы и требования.</w:t>
            </w:r>
          </w:p>
          <w:p>
            <w:pPr>
              <w:pStyle w:val="Normal"/>
              <w:autoSpaceDE w:val="false"/>
              <w:ind w:left="792" w:hang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Лица, нарушившие антикоррупционное законодательство Российской Федерации, а также требования настоящей Политики, могут быть привлечены к дисциплинарной, административной, гражданско-правовой или уголовной ответственности по инициативе Банка, правоохранительных органов или иных лиц в порядке и по основаниям, предусмотренным антикоррупционным законодательством, локальными нормативными актами Банка и трудовыми договорами.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Вместе с тем, Банк заявляет, что работник не будет подвергнут санкциям (в том числе уволен, понижен в должности, оштрафован или лишен премии), если он сообщил о предполагаемом факте коррупции, либо если он отказался дать взятку или получить какие-либо ценности, совершить коммерческий подкуп или оказать посредничество во взяточничестве, в том числе, если в результате такого отказа у Банка возникла упущенная выгода или не были получены коммерческие или конкурентные преимущества.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Поскольку Банк также может быть подвергнут санкциям за участие в коррупционной деятельности, то по каждому разумно обоснованному подозрению или установленному факту коррупции будут инициироваться служебные расследования в рамках, допустимых применимым законодательством Российской Федерации.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426" w:leader="none"/>
              </w:tabs>
              <w:spacing w:before="0" w:after="260"/>
              <w:ind w:left="0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ЗАКЛЮЧИТЕЛЬНЫЕ ПОЛОЖЕНИЯ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>Настоящая Политика вступает в силу со дня утверждения ее Наблюдательным Советом Банка.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left" w:pos="567" w:leader="none"/>
              </w:tabs>
              <w:spacing w:before="0" w:after="26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lang w:val="ru-RU"/>
              </w:rPr>
              <w:t xml:space="preserve">Политика может пересматриваться и совершенствоваться в случае изменения законодательства Российской Федерации, а также с учетом новых тенденций в мировой и российской практике корпоративного поведения. </w:t>
            </w:r>
          </w:p>
        </w:tc>
      </w:tr>
      <w:tr>
        <w:trPr/>
        <w:tc>
          <w:tcPr>
            <w:tcW w:w="10207" w:type="dxa"/>
            <w:tcBorders/>
            <w:shd w:fill="auto" w:val="clear"/>
          </w:tcPr>
          <w:p>
            <w:pPr>
              <w:pStyle w:val="Normal"/>
              <w:tabs>
                <w:tab w:val="left" w:pos="567" w:leader="none"/>
              </w:tabs>
              <w:snapToGrid w:val="false"/>
              <w:spacing w:before="0" w:after="26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</w:r>
          </w:p>
        </w:tc>
      </w:tr>
    </w:tbl>
    <w:p>
      <w:pPr>
        <w:pStyle w:val="Normal"/>
        <w:ind w:right="1255" w:hanging="0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076"/>
      </w:tblGrid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>РАЗРАБОТАНО: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 xml:space="preserve">Начальник Службы внутреннего контроля   </w:t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autoSpaceDE w:val="false"/>
              <w:jc w:val="right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>С.Г. Якущева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>СОГЛАСОВАНО: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 xml:space="preserve">Начальник юридического отдела                                                                    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autoSpaceDE w:val="false"/>
              <w:jc w:val="right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>А.В. Шульгина</w:t>
            </w:r>
          </w:p>
        </w:tc>
      </w:tr>
    </w:tbl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Приложение 1</w:t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 xml:space="preserve">к антикоррупционной Политике </w:t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 xml:space="preserve">ЗАО «Владбизнесбанк» </w:t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spacing w:lineRule="auto" w:line="360"/>
        <w:jc w:val="center"/>
        <w:rPr/>
      </w:pPr>
      <w:r>
        <w:rPr>
          <w:rFonts w:cs="Times New Roman" w:ascii="Times New Roman" w:hAnsi="Times New Roman"/>
          <w:b/>
          <w:color w:val="000000"/>
          <w:lang w:val="ru-RU"/>
        </w:rPr>
        <w:t>ОБЯЗАТЕЛЬСТВО О ПРИНЯТИИ И СОБЛЮДЕНИИ</w:t>
      </w:r>
    </w:p>
    <w:p>
      <w:pPr>
        <w:pStyle w:val="Normal"/>
        <w:autoSpaceDE w:val="false"/>
        <w:spacing w:lineRule="auto" w:line="360"/>
        <w:jc w:val="center"/>
        <w:rPr>
          <w:rFonts w:ascii="Times New Roman" w:hAnsi="Times New Roman" w:cs="Times New Roman"/>
          <w:b/>
          <w:b/>
          <w:color w:val="000000"/>
          <w:lang w:val="ru-RU"/>
        </w:rPr>
      </w:pPr>
      <w:r>
        <w:rPr>
          <w:rFonts w:cs="Times New Roman" w:ascii="Times New Roman" w:hAnsi="Times New Roman"/>
          <w:b/>
          <w:color w:val="000000"/>
          <w:lang w:val="ru-RU"/>
        </w:rPr>
        <w:t xml:space="preserve">АНТИКОРРУПЦИОННОЙ ПОЛИТИКИ </w:t>
      </w:r>
    </w:p>
    <w:p>
      <w:pPr>
        <w:pStyle w:val="Normal"/>
        <w:autoSpaceDE w:val="false"/>
        <w:spacing w:lineRule="auto" w:line="36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color w:val="000000"/>
          <w:lang w:val="ru-RU"/>
        </w:rPr>
        <w:t>ЗАО «Владбизнесбанк»</w:t>
      </w:r>
    </w:p>
    <w:p>
      <w:pPr>
        <w:pStyle w:val="Normal"/>
        <w:autoSpaceDE w:val="false"/>
        <w:spacing w:lineRule="auto" w:line="360"/>
        <w:jc w:val="both"/>
        <w:rPr>
          <w:rFonts w:ascii="Times New Roman" w:hAnsi="Times New Roman" w:cs="Times New Roman"/>
          <w:b/>
          <w:b/>
          <w:color w:val="000000"/>
          <w:lang w:val="ru-RU"/>
        </w:rPr>
      </w:pPr>
      <w:r>
        <w:rPr>
          <w:rFonts w:cs="Times New Roman" w:ascii="Times New Roman" w:hAnsi="Times New Roman"/>
          <w:b/>
          <w:color w:val="000000"/>
          <w:lang w:val="ru-RU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rFonts w:cs="Times New Roman" w:ascii="Times New Roman" w:hAnsi="Times New Roman"/>
          <w:color w:val="000000"/>
          <w:lang w:val="ru-RU"/>
        </w:rPr>
        <w:t>Я, ________________________________________________________________________,</w:t>
      </w:r>
    </w:p>
    <w:p>
      <w:pPr>
        <w:pStyle w:val="Normal"/>
        <w:tabs>
          <w:tab w:val="left" w:pos="6900" w:leader="none"/>
        </w:tabs>
        <w:autoSpaceDE w:val="false"/>
        <w:jc w:val="both"/>
        <w:rPr>
          <w:rFonts w:ascii="Times New Roman" w:hAnsi="Times New Roman" w:cs="Times New Roman"/>
          <w:i/>
          <w:i/>
          <w:color w:val="000000"/>
          <w:lang w:val="ru-RU"/>
        </w:rPr>
      </w:pPr>
      <w:r>
        <w:rPr>
          <w:rFonts w:cs="Times New Roman" w:ascii="Times New Roman" w:hAnsi="Times New Roman"/>
          <w:i/>
          <w:color w:val="000000"/>
          <w:lang w:val="ru-RU"/>
        </w:rPr>
        <w:t xml:space="preserve">                                                           </w:t>
      </w:r>
      <w:r>
        <w:rPr>
          <w:rFonts w:cs="Times New Roman" w:ascii="Times New Roman" w:hAnsi="Times New Roman"/>
          <w:i/>
          <w:color w:val="000000"/>
          <w:lang w:val="ru-RU"/>
        </w:rPr>
        <w:t>(Фамилия, Имя, Отчество Работника)</w:t>
        <w:tab/>
      </w:r>
    </w:p>
    <w:p>
      <w:pPr>
        <w:pStyle w:val="Normal"/>
        <w:autoSpaceDE w:val="false"/>
        <w:spacing w:lineRule="auto" w:line="36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 xml:space="preserve">полностью ознакомлен(-а) с содержанием антикоррупционной Политики ЗАО «Владбизнесбанк» и понял(-а) принципы и требования ЗАО «Владбизнесбанк» в отношении соблюдения норм применимого антикоррупционного законодательства. Я выражаю согласие с антикоррупционной Политикой ЗАО «Владбизнесбанк» и беру на себя обязательство выполнять требования антикоррупционной Политики ЗАО «Владбизнесбанк» и руководствоваться ими при принятии решений в своей профессиональной деятельности.   </w:t>
      </w:r>
    </w:p>
    <w:p>
      <w:pPr>
        <w:pStyle w:val="Normal"/>
        <w:autoSpaceDE w:val="false"/>
        <w:spacing w:lineRule="auto" w:line="36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lang w:val="ru-RU"/>
        </w:rPr>
        <w:t>Я осознаю и принимаю персональную ответственность за нарушение мною действующего законодательства Российской Федерации, принципов и требований применимого антикоррупционного законодательства, антикоррупционной Политики ЗАО «Владбизнесбанк» и других локальных нормативных актов ЗАО «Владбизнесбанк» и знаю, что должен(-а) уведомить о таком нарушении непосредственное руководство и Службу внутреннего контроля (комплаенс-службу) ЗАО «Владбизнесбанк».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both"/>
        <w:rPr/>
      </w:pPr>
      <w:r>
        <w:rPr>
          <w:rFonts w:cs="Times New Roman" w:ascii="Times New Roman" w:hAnsi="Times New Roman"/>
          <w:color w:val="000000"/>
          <w:lang w:val="ru-RU"/>
        </w:rPr>
        <w:t xml:space="preserve">«_____» __________________ 20____ г.    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lang w:val="ru-RU"/>
        </w:rPr>
        <w:t xml:space="preserve">___________________________ </w:t>
      </w:r>
    </w:p>
    <w:p>
      <w:pPr>
        <w:pStyle w:val="Normal"/>
        <w:autoSpaceDE w:val="false"/>
        <w:jc w:val="both"/>
        <w:rPr/>
      </w:pPr>
      <w:r>
        <w:rPr>
          <w:rFonts w:cs="Times New Roman" w:ascii="Times New Roman" w:hAnsi="Times New Roman"/>
          <w:color w:val="000000"/>
          <w:lang w:val="ru-RU"/>
        </w:rPr>
        <w:t xml:space="preserve">                        </w:t>
      </w:r>
      <w:r>
        <w:rPr>
          <w:rFonts w:cs="Times New Roman" w:ascii="Times New Roman" w:hAnsi="Times New Roman"/>
          <w:color w:val="000000"/>
          <w:lang w:val="ru-RU"/>
        </w:rPr>
        <w:t xml:space="preserve">(подпись)  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 xml:space="preserve">____________________________  ________________________ __________________________ </w:t>
        <w:tab/>
        <w:t xml:space="preserve">      (Фамилия                                              Имя                                          Отчество)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cs="Arial" w:ascii="Arial" w:hAnsi="Arial"/>
          <w:color w:val="000000"/>
          <w:sz w:val="16"/>
          <w:szCs w:val="16"/>
          <w:lang w:val="ru-RU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rFonts w:cs="Arial" w:ascii="Arial" w:hAnsi="Arial"/>
          <w:color w:val="000000"/>
          <w:sz w:val="16"/>
          <w:szCs w:val="16"/>
          <w:lang w:val="ru-RU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707" w:header="709" w:top="765" w:footer="489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ragmaticaCTT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ab/>
    </w:r>
    <w:r>
      <w:rPr>
        <w:rFonts w:eastAsia="Calibri" w:cs="Times New Roman" w:ascii="Times New Roman" w:hAnsi="Times New Roman"/>
        <w:bCs/>
        <w:i/>
        <w:sz w:val="16"/>
        <w:szCs w:val="16"/>
        <w:lang w:val="ru-RU" w:eastAsia="en-US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i/>
        <w:i/>
        <w:sz w:val="19"/>
        <w:szCs w:val="19"/>
        <w:lang w:val="ru-RU"/>
      </w:rPr>
    </w:pPr>
    <w:r>
      <w:rPr>
        <w:rFonts w:cs="Arial" w:ascii="Arial" w:hAnsi="Arial"/>
        <w:i/>
        <w:sz w:val="19"/>
        <w:szCs w:val="19"/>
        <w:lang w:val="ru-RU"/>
      </w:rPr>
      <w:t>«Антикоррупционная политика ЗАО «Владбизнесбанк»</w:t>
    </w:r>
  </w:p>
  <w:p>
    <w:pPr>
      <w:pStyle w:val="Header"/>
      <w:rPr>
        <w:rFonts w:ascii="Arial" w:hAnsi="Arial" w:cs="Arial"/>
        <w:i/>
        <w:i/>
        <w:sz w:val="19"/>
        <w:szCs w:val="19"/>
        <w:lang w:val="ru-RU"/>
      </w:rPr>
    </w:pPr>
    <w:r>
      <w:rPr>
        <w:rFonts w:cs="Arial" w:ascii="Arial" w:hAnsi="Arial"/>
        <w:i/>
        <w:sz w:val="19"/>
        <w:szCs w:val="19"/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Arial" w:hAnsi="Arial" w:cs="Arial"/>
        <w:color w:val="FFFFFF"/>
        <w:sz w:val="19"/>
        <w:szCs w:val="19"/>
      </w:rPr>
    </w:pPr>
    <w:r>
      <w:rPr>
        <w:rFonts w:cs="Arial" w:ascii="Arial" w:hAnsi="Arial"/>
        <w:color w:val="FFFFFF"/>
        <w:sz w:val="19"/>
        <w:szCs w:val="19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rFonts w:cs="Symbol"/>
        <w:color w:val="000000"/>
        <w:lang w:val="ru-RU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  <w:lang w:val="ru-RU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/>
        <w:rFonts w:ascii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i w:val="false"/>
        <w:b w:val="false"/>
        <w:rFonts w:ascii="Times New Roman" w:hAnsi="Times New Roman" w:cs="Times New Roman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rFonts w:ascii="Times New Roman" w:hAnsi="Times New Roman" w:cs="Times New Roman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rFonts w:ascii="Times New Roman" w:hAnsi="Times New Roman" w:cs="Times New Roman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rFonts w:ascii="Times New Roman" w:hAnsi="Times New Roman" w:cs="Times New Roman"/>
        <w:lang w:val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rFonts w:ascii="Times New Roman" w:hAnsi="Times New Roman" w:cs="Times New Roman"/>
        <w:lang w:val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rFonts w:ascii="Times New Roman" w:hAnsi="Times New Roman" w:cs="Times New Roman"/>
        <w:lang w:val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rFonts w:ascii="Times New Roman" w:hAnsi="Times New Roman" w:cs="Times New Roman"/>
        <w:lang w:val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rFonts w:ascii="Times New Roman" w:hAnsi="Times New Roman" w:cs="Times New Roman"/>
        <w:lang w:val="ru-RU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PragmaticaCTT;Arial" w:hAnsi="PragmaticaCTT;Arial" w:eastAsia="Times New Roman" w:cs="PragmaticaCTT;Arial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Symbol" w:hAnsi="Symbol" w:cs="Symbol"/>
      <w:color w:val="000000"/>
      <w:lang w:val="ru-RU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>
      <w:b/>
    </w:rPr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7z0">
    <w:name w:val="WW8Num47z0"/>
    <w:qFormat/>
    <w:rPr/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1z0">
    <w:name w:val="WW8Num51z0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/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60z0">
    <w:name w:val="WW8Num60z0"/>
    <w:qFormat/>
    <w:rPr/>
  </w:style>
  <w:style w:type="character" w:styleId="WW8Num61z0">
    <w:name w:val="WW8Num61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4z0">
    <w:name w:val="WW8Num64z0"/>
    <w:qFormat/>
    <w:rPr/>
  </w:style>
  <w:style w:type="character" w:styleId="WW8Num65z0">
    <w:name w:val="WW8Num65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6z0">
    <w:name w:val="WW8Num66z0"/>
    <w:qFormat/>
    <w:rPr/>
  </w:style>
  <w:style w:type="character" w:styleId="WW8Num67z0">
    <w:name w:val="WW8Num67z0"/>
    <w:qFormat/>
    <w:rPr/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>
      <w:rFonts w:ascii="Symbol" w:hAnsi="Symbol" w:cs="Symbol"/>
      <w:color w:val="000000"/>
      <w:lang w:val="ru-RU"/>
    </w:rPr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71z2">
    <w:name w:val="WW8Num71z2"/>
    <w:qFormat/>
    <w:rPr>
      <w:rFonts w:ascii="Wingdings" w:hAnsi="Wingdings" w:cs="Wingdings"/>
    </w:rPr>
  </w:style>
  <w:style w:type="character" w:styleId="WW8Num72z0">
    <w:name w:val="WW8Num72z0"/>
    <w:qFormat/>
    <w:rPr/>
  </w:style>
  <w:style w:type="character" w:styleId="WW8Num73z0">
    <w:name w:val="WW8Num73z0"/>
    <w:qFormat/>
    <w:rPr/>
  </w:style>
  <w:style w:type="character" w:styleId="WW8Num74z0">
    <w:name w:val="WW8Num74z0"/>
    <w:qFormat/>
    <w:rPr/>
  </w:style>
  <w:style w:type="character" w:styleId="WW8Num75z0">
    <w:name w:val="WW8Num75z0"/>
    <w:qFormat/>
    <w:rPr>
      <w:rFonts w:ascii="Symbol" w:hAnsi="Symbol" w:cs="Symbol"/>
    </w:rPr>
  </w:style>
  <w:style w:type="character" w:styleId="WW8Num75z1">
    <w:name w:val="WW8Num75z1"/>
    <w:qFormat/>
    <w:rPr>
      <w:rFonts w:ascii="Courier New" w:hAnsi="Courier New" w:cs="Courier New"/>
    </w:rPr>
  </w:style>
  <w:style w:type="character" w:styleId="WW8Num75z2">
    <w:name w:val="WW8Num75z2"/>
    <w:qFormat/>
    <w:rPr>
      <w:rFonts w:ascii="Wingdings" w:hAnsi="Wingdings" w:cs="Wingdings"/>
    </w:rPr>
  </w:style>
  <w:style w:type="character" w:styleId="WW8Num76z0">
    <w:name w:val="WW8Num76z0"/>
    <w:qFormat/>
    <w:rPr/>
  </w:style>
  <w:style w:type="character" w:styleId="WW8Num77z0">
    <w:name w:val="WW8Num77z0"/>
    <w:qFormat/>
    <w:rPr/>
  </w:style>
  <w:style w:type="character" w:styleId="WW8Num78z0">
    <w:name w:val="WW8Num78z0"/>
    <w:qFormat/>
    <w:rPr/>
  </w:style>
  <w:style w:type="character" w:styleId="WW8Num79z0">
    <w:name w:val="WW8Num79z0"/>
    <w:qFormat/>
    <w:rPr/>
  </w:style>
  <w:style w:type="character" w:styleId="WW8Num80z0">
    <w:name w:val="WW8Num80z0"/>
    <w:qFormat/>
    <w:rPr/>
  </w:style>
  <w:style w:type="character" w:styleId="WW8Num81z0">
    <w:name w:val="WW8Num81z0"/>
    <w:qFormat/>
    <w:rPr>
      <w:color w:val="000000"/>
    </w:rPr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3z0">
    <w:name w:val="WW8Num83z0"/>
    <w:qFormat/>
    <w:rPr/>
  </w:style>
  <w:style w:type="character" w:styleId="WW8Num84z0">
    <w:name w:val="WW8Num84z0"/>
    <w:qFormat/>
    <w:rPr/>
  </w:style>
  <w:style w:type="character" w:styleId="WW8Num85z0">
    <w:name w:val="WW8Num85z0"/>
    <w:qFormat/>
    <w:rPr/>
  </w:style>
  <w:style w:type="character" w:styleId="WW8Num86z0">
    <w:name w:val="WW8Num86z0"/>
    <w:qFormat/>
    <w:rPr>
      <w:b/>
    </w:rPr>
  </w:style>
  <w:style w:type="character" w:styleId="WW8Num87z0">
    <w:name w:val="WW8Num87z0"/>
    <w:qFormat/>
    <w:rPr/>
  </w:style>
  <w:style w:type="character" w:styleId="WW8Num88z0">
    <w:name w:val="WW8Num88z0"/>
    <w:qFormat/>
    <w:rPr/>
  </w:style>
  <w:style w:type="character" w:styleId="WW8Num89z0">
    <w:name w:val="WW8Num89z0"/>
    <w:qFormat/>
    <w:rPr/>
  </w:style>
  <w:style w:type="character" w:styleId="WW8Num90z0">
    <w:name w:val="WW8Num90z0"/>
    <w:qFormat/>
    <w:rPr/>
  </w:style>
  <w:style w:type="character" w:styleId="WW8Num91z0">
    <w:name w:val="WW8Num91z0"/>
    <w:qFormat/>
    <w:rPr/>
  </w:style>
  <w:style w:type="character" w:styleId="WW8Num92z0">
    <w:name w:val="WW8Num92z0"/>
    <w:qFormat/>
    <w:rPr/>
  </w:style>
  <w:style w:type="character" w:styleId="WW8Num93z0">
    <w:name w:val="WW8Num93z0"/>
    <w:qFormat/>
    <w:rPr/>
  </w:style>
  <w:style w:type="character" w:styleId="WW8Num94z0">
    <w:name w:val="WW8Num94z0"/>
    <w:qFormat/>
    <w:rPr/>
  </w:style>
  <w:style w:type="character" w:styleId="WW8Num95z0">
    <w:name w:val="WW8Num95z0"/>
    <w:qFormat/>
    <w:rPr/>
  </w:style>
  <w:style w:type="character" w:styleId="WW8Num96z0">
    <w:name w:val="WW8Num96z0"/>
    <w:qFormat/>
    <w:rPr/>
  </w:style>
  <w:style w:type="character" w:styleId="WW8Num97z0">
    <w:name w:val="WW8Num97z0"/>
    <w:qFormat/>
    <w:rPr/>
  </w:style>
  <w:style w:type="character" w:styleId="WW8Num98z0">
    <w:name w:val="WW8Num98z0"/>
    <w:qFormat/>
    <w:rPr/>
  </w:style>
  <w:style w:type="character" w:styleId="WW8Num99z0">
    <w:name w:val="WW8Num99z0"/>
    <w:qFormat/>
    <w:rPr/>
  </w:style>
  <w:style w:type="character" w:styleId="WW8Num100z0">
    <w:name w:val="WW8Num100z0"/>
    <w:qFormat/>
    <w:rPr/>
  </w:style>
  <w:style w:type="character" w:styleId="WW8Num101z0">
    <w:name w:val="WW8Num101z0"/>
    <w:qFormat/>
    <w:rPr/>
  </w:style>
  <w:style w:type="character" w:styleId="WW8Num102z0">
    <w:name w:val="WW8Num102z0"/>
    <w:qFormat/>
    <w:rPr/>
  </w:style>
  <w:style w:type="character" w:styleId="WW8Num103z0">
    <w:name w:val="WW8Num103z0"/>
    <w:qFormat/>
    <w:rPr/>
  </w:style>
  <w:style w:type="character" w:styleId="WW8Num104z0">
    <w:name w:val="WW8Num104z0"/>
    <w:qFormat/>
    <w:rPr/>
  </w:style>
  <w:style w:type="character" w:styleId="WW8Num105z0">
    <w:name w:val="WW8Num105z0"/>
    <w:qFormat/>
    <w:rPr>
      <w:rFonts w:ascii="Symbol" w:hAnsi="Symbol" w:cs="Symbol"/>
    </w:rPr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2">
    <w:name w:val="WW8Num105z2"/>
    <w:qFormat/>
    <w:rPr>
      <w:rFonts w:ascii="Wingdings" w:hAnsi="Wingdings" w:cs="Wingdings"/>
    </w:rPr>
  </w:style>
  <w:style w:type="character" w:styleId="WW8Num106z0">
    <w:name w:val="WW8Num106z0"/>
    <w:qFormat/>
    <w:rPr/>
  </w:style>
  <w:style w:type="character" w:styleId="WW8Num107z0">
    <w:name w:val="WW8Num107z0"/>
    <w:qFormat/>
    <w:rPr/>
  </w:style>
  <w:style w:type="character" w:styleId="WW8Num108z0">
    <w:name w:val="WW8Num108z0"/>
    <w:qFormat/>
    <w:rPr/>
  </w:style>
  <w:style w:type="character" w:styleId="WW8Num109z0">
    <w:name w:val="WW8Num109z0"/>
    <w:qFormat/>
    <w:rPr/>
  </w:style>
  <w:style w:type="character" w:styleId="WW8Num109z2">
    <w:name w:val="WW8Num109z2"/>
    <w:qFormat/>
    <w:rPr>
      <w:rFonts w:ascii="Wingdings" w:hAnsi="Wingdings" w:cs="Wingdings"/>
    </w:rPr>
  </w:style>
  <w:style w:type="character" w:styleId="WW8Num110z0">
    <w:name w:val="WW8Num110z0"/>
    <w:qFormat/>
    <w:rPr/>
  </w:style>
  <w:style w:type="character" w:styleId="WW8Num111z0">
    <w:name w:val="WW8Num111z0"/>
    <w:qFormat/>
    <w:rPr/>
  </w:style>
  <w:style w:type="character" w:styleId="WW8Num112z0">
    <w:name w:val="WW8Num112z0"/>
    <w:qFormat/>
    <w:rPr/>
  </w:style>
  <w:style w:type="character" w:styleId="WW8Num113z0">
    <w:name w:val="WW8Num113z0"/>
    <w:qFormat/>
    <w:rPr/>
  </w:style>
  <w:style w:type="character" w:styleId="WW8Num114z0">
    <w:name w:val="WW8Num114z0"/>
    <w:qFormat/>
    <w:rPr/>
  </w:style>
  <w:style w:type="character" w:styleId="WW8Num115z0">
    <w:name w:val="WW8Num115z0"/>
    <w:qFormat/>
    <w:rPr/>
  </w:style>
  <w:style w:type="character" w:styleId="WW8Num116z0">
    <w:name w:val="WW8Num116z0"/>
    <w:qFormat/>
    <w:rPr/>
  </w:style>
  <w:style w:type="character" w:styleId="WW8Num117z0">
    <w:name w:val="WW8Num117z0"/>
    <w:qFormat/>
    <w:rPr/>
  </w:style>
  <w:style w:type="character" w:styleId="WW8Num117z1">
    <w:name w:val="WW8Num117z1"/>
    <w:qFormat/>
    <w:rPr>
      <w:i w:val="false"/>
    </w:rPr>
  </w:style>
  <w:style w:type="character" w:styleId="WW8Num118z0">
    <w:name w:val="WW8Num118z0"/>
    <w:qFormat/>
    <w:rPr/>
  </w:style>
  <w:style w:type="character" w:styleId="WW8Num119z0">
    <w:name w:val="WW8Num119z0"/>
    <w:qFormat/>
    <w:rPr/>
  </w:style>
  <w:style w:type="character" w:styleId="WW8Num120z0">
    <w:name w:val="WW8Num120z0"/>
    <w:qFormat/>
    <w:rPr/>
  </w:style>
  <w:style w:type="character" w:styleId="WW8Num121z0">
    <w:name w:val="WW8Num121z0"/>
    <w:qFormat/>
    <w:rPr/>
  </w:style>
  <w:style w:type="character" w:styleId="WW8Num122z0">
    <w:name w:val="WW8Num122z0"/>
    <w:qFormat/>
    <w:rPr>
      <w:rFonts w:ascii="Times New Roman" w:hAnsi="Times New Roman" w:cs="Times New Roman"/>
      <w:b/>
      <w:lang w:val="ru-RU"/>
    </w:rPr>
  </w:style>
  <w:style w:type="character" w:styleId="WW8Num122z1">
    <w:name w:val="WW8Num122z1"/>
    <w:qFormat/>
    <w:rPr>
      <w:rFonts w:ascii="Times New Roman" w:hAnsi="Times New Roman" w:cs="Times New Roman"/>
      <w:b w:val="false"/>
      <w:i w:val="false"/>
      <w:lang w:val="ru-RU"/>
    </w:rPr>
  </w:style>
  <w:style w:type="character" w:styleId="WW8Num123z0">
    <w:name w:val="WW8Num123z0"/>
    <w:qFormat/>
    <w:rPr/>
  </w:style>
  <w:style w:type="character" w:styleId="WW8Num124z0">
    <w:name w:val="WW8Num124z0"/>
    <w:qFormat/>
    <w:rPr/>
  </w:style>
  <w:style w:type="character" w:styleId="WW8Num125z0">
    <w:name w:val="WW8Num125z0"/>
    <w:qFormat/>
    <w:rPr/>
  </w:style>
  <w:style w:type="character" w:styleId="WW8Num126z0">
    <w:name w:val="WW8Num126z0"/>
    <w:qFormat/>
    <w:rPr/>
  </w:style>
  <w:style w:type="character" w:styleId="WW8Num127z0">
    <w:name w:val="WW8Num127z0"/>
    <w:qFormat/>
    <w:rPr/>
  </w:style>
  <w:style w:type="character" w:styleId="WW8Num128z0">
    <w:name w:val="WW8Num128z0"/>
    <w:qFormat/>
    <w:rPr/>
  </w:style>
  <w:style w:type="character" w:styleId="WW8Num129z0">
    <w:name w:val="WW8Num129z0"/>
    <w:qFormat/>
    <w:rPr/>
  </w:style>
  <w:style w:type="character" w:styleId="WW8Num130z0">
    <w:name w:val="WW8Num130z0"/>
    <w:qFormat/>
    <w:rPr/>
  </w:style>
  <w:style w:type="character" w:styleId="Style14">
    <w:name w:val="Основной шрифт абзаца"/>
    <w:qFormat/>
    <w:rPr/>
  </w:style>
  <w:style w:type="character" w:styleId="Style15">
    <w:name w:val="Гипертекстовая ссылка"/>
    <w:qFormat/>
    <w:rPr>
      <w:color w:val="008000"/>
    </w:rPr>
  </w:style>
  <w:style w:type="character" w:styleId="PageNumber">
    <w:name w:val="Page Number"/>
    <w:basedOn w:val="Style14"/>
    <w:rPr/>
  </w:style>
  <w:style w:type="character" w:styleId="InternetLink">
    <w:name w:val="Internet Link"/>
    <w:rPr>
      <w:color w:val="0000FF"/>
      <w:u w:val="single"/>
    </w:rPr>
  </w:style>
  <w:style w:type="character" w:styleId="Style16">
    <w:name w:val="Текст сноски Знак"/>
    <w:qFormat/>
    <w:rPr>
      <w:rFonts w:ascii="PragmaticaCTT;Arial" w:hAnsi="PragmaticaCTT;Arial" w:cs="PragmaticaCTT;Arial"/>
      <w:lang w:val="en-US"/>
    </w:rPr>
  </w:style>
  <w:style w:type="character" w:styleId="FootnoteCharacters">
    <w:name w:val="Footnote Characters"/>
    <w:qFormat/>
    <w:rPr>
      <w:vertAlign w:val="superscript"/>
    </w:rPr>
  </w:style>
  <w:style w:type="character" w:styleId="Style17">
    <w:name w:val="Верхний колонтитул Знак"/>
    <w:qFormat/>
    <w:rPr>
      <w:rFonts w:ascii="PragmaticaCTT;Arial" w:hAnsi="PragmaticaCTT;Arial" w:cs="PragmaticaCTT;Arial"/>
      <w:sz w:val="24"/>
      <w:szCs w:val="24"/>
      <w:lang w:val="en-US"/>
    </w:rPr>
  </w:style>
  <w:style w:type="character" w:styleId="Style18">
    <w:name w:val="Нижний колонтитул Знак"/>
    <w:qFormat/>
    <w:rPr>
      <w:rFonts w:ascii="PragmaticaCTT;Arial" w:hAnsi="PragmaticaCTT;Arial" w:cs="PragmaticaCTT;Arial"/>
      <w:sz w:val="24"/>
      <w:szCs w:val="24"/>
      <w:lang w:val="en-US"/>
    </w:rPr>
  </w:style>
  <w:style w:type="character" w:styleId="Style19">
    <w:name w:val="Подпись Знак"/>
    <w:qFormat/>
    <w:rPr>
      <w:rFonts w:ascii="PragmaticaCTT;Arial" w:hAnsi="PragmaticaCTT;Arial" w:cs="PragmaticaCTT;Arial"/>
      <w:b/>
      <w:sz w:val="22"/>
    </w:rPr>
  </w:style>
  <w:style w:type="character" w:styleId="Style20">
    <w:name w:val="Приветствие Знак"/>
    <w:qFormat/>
    <w:rPr>
      <w:rFonts w:ascii="PragmaticaCTT;Arial" w:hAnsi="PragmaticaCTT;Arial" w:cs="PragmaticaCTT;Arial"/>
      <w:sz w:val="24"/>
      <w:szCs w:val="24"/>
      <w:lang w:val="en-US"/>
    </w:rPr>
  </w:style>
  <w:style w:type="character" w:styleId="Style21">
    <w:name w:val="Знак примечания"/>
    <w:qFormat/>
    <w:rPr>
      <w:sz w:val="16"/>
      <w:szCs w:val="16"/>
    </w:rPr>
  </w:style>
  <w:style w:type="character" w:styleId="Style22">
    <w:name w:val="Текст примечания Знак"/>
    <w:qFormat/>
    <w:rPr>
      <w:rFonts w:ascii="PragmaticaCTT;Arial" w:hAnsi="PragmaticaCTT;Arial" w:cs="PragmaticaCTT;Arial"/>
      <w:lang w:val="en-US"/>
    </w:rPr>
  </w:style>
  <w:style w:type="character" w:styleId="Style23">
    <w:name w:val="Тема примечания Знак"/>
    <w:qFormat/>
    <w:rPr>
      <w:rFonts w:ascii="PragmaticaCTT;Arial" w:hAnsi="PragmaticaCTT;Arial" w:cs="PragmaticaCTT;Arial"/>
      <w:b/>
      <w:bCs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widowControl/>
      <w:autoSpaceDE w:val="false"/>
    </w:pPr>
    <w:rPr>
      <w:rFonts w:ascii="Arial" w:hAnsi="Arial" w:eastAsia="Times New Roman" w:cs="Arial"/>
      <w:color w:val="000000"/>
      <w:sz w:val="24"/>
      <w:szCs w:val="24"/>
      <w:lang w:val="ru-RU" w:bidi="ar-SA" w:eastAsia="zh-CN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ignature">
    <w:name w:val="Signature"/>
    <w:basedOn w:val="Normal"/>
    <w:pPr>
      <w:spacing w:before="60" w:after="0"/>
      <w:jc w:val="center"/>
    </w:pPr>
    <w:rPr>
      <w:b/>
      <w:sz w:val="22"/>
      <w:szCs w:val="20"/>
      <w:lang w:val="ru-RU"/>
    </w:rPr>
  </w:style>
  <w:style w:type="paragraph" w:styleId="Style25">
    <w:name w:val="Приветствие"/>
    <w:basedOn w:val="Normal"/>
    <w:next w:val="Normal"/>
    <w:qFormat/>
    <w:pPr/>
    <w:rPr/>
  </w:style>
  <w:style w:type="paragraph" w:styleId="Style26">
    <w:name w:val="Согласовано"/>
    <w:basedOn w:val="Style25"/>
    <w:next w:val="Normal"/>
    <w:qFormat/>
    <w:pPr>
      <w:spacing w:before="120" w:after="0"/>
    </w:pPr>
    <w:rPr>
      <w:b/>
      <w:sz w:val="22"/>
      <w:szCs w:val="20"/>
      <w:lang w:val="ru-RU"/>
    </w:rPr>
  </w:style>
  <w:style w:type="paragraph" w:styleId="Style27">
    <w:name w:val="Текст примечания"/>
    <w:basedOn w:val="Normal"/>
    <w:qFormat/>
    <w:pPr/>
    <w:rPr>
      <w:sz w:val="20"/>
      <w:szCs w:val="20"/>
    </w:rPr>
  </w:style>
  <w:style w:type="paragraph" w:styleId="Style28">
    <w:name w:val="Тема примечания"/>
    <w:basedOn w:val="Style27"/>
    <w:next w:val="Style27"/>
    <w:qFormat/>
    <w:pPr/>
    <w:rPr>
      <w:b/>
      <w:bCs/>
    </w:rPr>
  </w:style>
  <w:style w:type="paragraph" w:styleId="Style29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  <w:style w:type="numbering" w:styleId="WW8Num84">
    <w:name w:val="WW8Num84"/>
    <w:qFormat/>
  </w:style>
  <w:style w:type="numbering" w:styleId="WW8Num85">
    <w:name w:val="WW8Num85"/>
    <w:qFormat/>
  </w:style>
  <w:style w:type="numbering" w:styleId="WW8Num86">
    <w:name w:val="WW8Num86"/>
    <w:qFormat/>
  </w:style>
  <w:style w:type="numbering" w:styleId="WW8Num87">
    <w:name w:val="WW8Num87"/>
    <w:qFormat/>
  </w:style>
  <w:style w:type="numbering" w:styleId="WW8Num88">
    <w:name w:val="WW8Num88"/>
    <w:qFormat/>
  </w:style>
  <w:style w:type="numbering" w:styleId="WW8Num89">
    <w:name w:val="WW8Num89"/>
    <w:qFormat/>
  </w:style>
  <w:style w:type="numbering" w:styleId="WW8Num90">
    <w:name w:val="WW8Num90"/>
    <w:qFormat/>
  </w:style>
  <w:style w:type="numbering" w:styleId="WW8Num91">
    <w:name w:val="WW8Num91"/>
    <w:qFormat/>
  </w:style>
  <w:style w:type="numbering" w:styleId="WW8Num92">
    <w:name w:val="WW8Num92"/>
    <w:qFormat/>
  </w:style>
  <w:style w:type="numbering" w:styleId="WW8Num93">
    <w:name w:val="WW8Num93"/>
    <w:qFormat/>
  </w:style>
  <w:style w:type="numbering" w:styleId="WW8Num94">
    <w:name w:val="WW8Num94"/>
    <w:qFormat/>
  </w:style>
  <w:style w:type="numbering" w:styleId="WW8Num95">
    <w:name w:val="WW8Num95"/>
    <w:qFormat/>
  </w:style>
  <w:style w:type="numbering" w:styleId="WW8Num96">
    <w:name w:val="WW8Num96"/>
    <w:qFormat/>
  </w:style>
  <w:style w:type="numbering" w:styleId="WW8Num97">
    <w:name w:val="WW8Num97"/>
    <w:qFormat/>
  </w:style>
  <w:style w:type="numbering" w:styleId="WW8Num98">
    <w:name w:val="WW8Num98"/>
    <w:qFormat/>
  </w:style>
  <w:style w:type="numbering" w:styleId="WW8Num99">
    <w:name w:val="WW8Num99"/>
    <w:qFormat/>
  </w:style>
  <w:style w:type="numbering" w:styleId="WW8Num100">
    <w:name w:val="WW8Num100"/>
    <w:qFormat/>
  </w:style>
  <w:style w:type="numbering" w:styleId="WW8Num101">
    <w:name w:val="WW8Num101"/>
    <w:qFormat/>
  </w:style>
  <w:style w:type="numbering" w:styleId="WW8Num102">
    <w:name w:val="WW8Num102"/>
    <w:qFormat/>
  </w:style>
  <w:style w:type="numbering" w:styleId="WW8Num103">
    <w:name w:val="WW8Num103"/>
    <w:qFormat/>
  </w:style>
  <w:style w:type="numbering" w:styleId="WW8Num104">
    <w:name w:val="WW8Num104"/>
    <w:qFormat/>
  </w:style>
  <w:style w:type="numbering" w:styleId="WW8Num105">
    <w:name w:val="WW8Num105"/>
    <w:qFormat/>
  </w:style>
  <w:style w:type="numbering" w:styleId="WW8Num106">
    <w:name w:val="WW8Num106"/>
    <w:qFormat/>
  </w:style>
  <w:style w:type="numbering" w:styleId="WW8Num107">
    <w:name w:val="WW8Num107"/>
    <w:qFormat/>
  </w:style>
  <w:style w:type="numbering" w:styleId="WW8Num108">
    <w:name w:val="WW8Num108"/>
    <w:qFormat/>
  </w:style>
  <w:style w:type="numbering" w:styleId="WW8Num109">
    <w:name w:val="WW8Num109"/>
    <w:qFormat/>
  </w:style>
  <w:style w:type="numbering" w:styleId="WW8Num110">
    <w:name w:val="WW8Num110"/>
    <w:qFormat/>
  </w:style>
  <w:style w:type="numbering" w:styleId="WW8Num111">
    <w:name w:val="WW8Num111"/>
    <w:qFormat/>
  </w:style>
  <w:style w:type="numbering" w:styleId="WW8Num112">
    <w:name w:val="WW8Num112"/>
    <w:qFormat/>
  </w:style>
  <w:style w:type="numbering" w:styleId="WW8Num113">
    <w:name w:val="WW8Num113"/>
    <w:qFormat/>
  </w:style>
  <w:style w:type="numbering" w:styleId="WW8Num114">
    <w:name w:val="WW8Num114"/>
    <w:qFormat/>
  </w:style>
  <w:style w:type="numbering" w:styleId="WW8Num115">
    <w:name w:val="WW8Num115"/>
    <w:qFormat/>
  </w:style>
  <w:style w:type="numbering" w:styleId="WW8Num116">
    <w:name w:val="WW8Num116"/>
    <w:qFormat/>
  </w:style>
  <w:style w:type="numbering" w:styleId="WW8Num117">
    <w:name w:val="WW8Num117"/>
    <w:qFormat/>
  </w:style>
  <w:style w:type="numbering" w:styleId="WW8Num118">
    <w:name w:val="WW8Num118"/>
    <w:qFormat/>
  </w:style>
  <w:style w:type="numbering" w:styleId="WW8Num119">
    <w:name w:val="WW8Num119"/>
    <w:qFormat/>
  </w:style>
  <w:style w:type="numbering" w:styleId="WW8Num120">
    <w:name w:val="WW8Num120"/>
    <w:qFormat/>
  </w:style>
  <w:style w:type="numbering" w:styleId="WW8Num121">
    <w:name w:val="WW8Num121"/>
    <w:qFormat/>
  </w:style>
  <w:style w:type="numbering" w:styleId="WW8Num122">
    <w:name w:val="WW8Num122"/>
    <w:qFormat/>
  </w:style>
  <w:style w:type="numbering" w:styleId="WW8Num123">
    <w:name w:val="WW8Num123"/>
    <w:qFormat/>
  </w:style>
  <w:style w:type="numbering" w:styleId="WW8Num124">
    <w:name w:val="WW8Num124"/>
    <w:qFormat/>
  </w:style>
  <w:style w:type="numbering" w:styleId="WW8Num125">
    <w:name w:val="WW8Num125"/>
    <w:qFormat/>
  </w:style>
  <w:style w:type="numbering" w:styleId="WW8Num126">
    <w:name w:val="WW8Num126"/>
    <w:qFormat/>
  </w:style>
  <w:style w:type="numbering" w:styleId="WW8Num127">
    <w:name w:val="WW8Num127"/>
    <w:qFormat/>
  </w:style>
  <w:style w:type="numbering" w:styleId="WW8Num128">
    <w:name w:val="WW8Num128"/>
    <w:qFormat/>
  </w:style>
  <w:style w:type="numbering" w:styleId="WW8Num129">
    <w:name w:val="WW8Num129"/>
    <w:qFormat/>
  </w:style>
  <w:style w:type="numbering" w:styleId="WW8Num130">
    <w:name w:val="WW8Num1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8624.7" TargetMode="External"/><Relationship Id="rId3" Type="http://schemas.openxmlformats.org/officeDocument/2006/relationships/hyperlink" Target="garantf1://12018624.1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2014-09-25T12:39:00Z</dcterms:created>
  <dc:creator/>
  <dc:description/>
  <dc:language>ru-RU</dc:language>
  <cp:lastModifiedBy/>
  <cp:lastPrinted>2015-11-19T09:46:00Z</cp:lastPrinted>
  <dcterms:modified xsi:type="dcterms:W3CDTF">2015-11-26T09:00:00Z</dcterms:modified>
  <cp:revision>63</cp:revision>
  <dc:subject/>
  <dc:title>ПОЛИТИКА ОАО АКБ «РОСБАНК» в отношении взяток и коррупции</dc:title>
</cp:coreProperties>
</file>